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983204">
        <w:rPr>
          <w:b/>
          <w:sz w:val="22"/>
          <w:szCs w:val="22"/>
        </w:rPr>
        <w:t>ik nr 2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nr 1592/ZZK/2019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1592/ZZK/2019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F956C7" w:rsidRPr="00F956C7" w:rsidRDefault="000D5644" w:rsidP="00F956C7">
      <w:pPr>
        <w:pStyle w:val="Akapitzlist"/>
        <w:numPr>
          <w:ilvl w:val="0"/>
          <w:numId w:val="28"/>
        </w:numPr>
        <w:suppressAutoHyphens w:val="0"/>
        <w:ind w:left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Zamawiający zleca, a Wykonawca przyjmuje do</w:t>
      </w:r>
      <w:r w:rsidR="005E36D8" w:rsidRPr="00F956C7">
        <w:rPr>
          <w:sz w:val="22"/>
          <w:szCs w:val="22"/>
        </w:rPr>
        <w:t xml:space="preserve"> wykonania </w:t>
      </w:r>
      <w:r w:rsidR="005E36D8" w:rsidRPr="00F956C7">
        <w:rPr>
          <w:b/>
          <w:sz w:val="22"/>
          <w:szCs w:val="22"/>
        </w:rPr>
        <w:t>„</w:t>
      </w:r>
      <w:r w:rsidR="00F956C7" w:rsidRPr="00F956C7">
        <w:rPr>
          <w:b/>
          <w:sz w:val="22"/>
          <w:szCs w:val="22"/>
          <w:lang w:val="pl-PL"/>
        </w:rPr>
        <w:t>Udrożnienie koryta potoku Lipnica (Bilczycki) w km 5+000-6+000  gm. Gdów”.</w:t>
      </w:r>
    </w:p>
    <w:p w:rsidR="000D5644" w:rsidRPr="00F956C7" w:rsidRDefault="000D5644" w:rsidP="00F956C7">
      <w:pPr>
        <w:pStyle w:val="Akapitzlist"/>
        <w:numPr>
          <w:ilvl w:val="0"/>
          <w:numId w:val="28"/>
        </w:numPr>
        <w:suppressAutoHyphens w:val="0"/>
        <w:ind w:left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Szczegółowy  zakres prac do wykonania  stanowi</w:t>
      </w:r>
      <w:r w:rsidR="00290DC1" w:rsidRPr="00F956C7">
        <w:rPr>
          <w:sz w:val="22"/>
          <w:szCs w:val="22"/>
        </w:rPr>
        <w:t xml:space="preserve"> zapytanie ofertowe</w:t>
      </w:r>
      <w:r w:rsidR="00913935" w:rsidRPr="00F956C7">
        <w:rPr>
          <w:sz w:val="22"/>
          <w:szCs w:val="22"/>
          <w:lang w:val="pl-PL"/>
        </w:rPr>
        <w:t xml:space="preserve"> </w:t>
      </w:r>
      <w:r w:rsidR="00290DC1" w:rsidRPr="00F956C7">
        <w:rPr>
          <w:sz w:val="22"/>
          <w:szCs w:val="22"/>
        </w:rPr>
        <w:t>wraz z</w:t>
      </w:r>
      <w:r w:rsidR="00913935" w:rsidRPr="00F956C7">
        <w:rPr>
          <w:sz w:val="22"/>
          <w:szCs w:val="22"/>
          <w:lang w:val="pl-PL"/>
        </w:rPr>
        <w:t> </w:t>
      </w:r>
      <w:r w:rsidR="00290DC1" w:rsidRPr="00F956C7">
        <w:rPr>
          <w:sz w:val="22"/>
          <w:szCs w:val="22"/>
        </w:rPr>
        <w:t>kosztorysem ofertowym.</w:t>
      </w:r>
    </w:p>
    <w:p w:rsidR="000D5644" w:rsidRPr="00F956C7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(Dz. U z 2018 r., poz. 1986</w:t>
      </w:r>
      <w:r w:rsidRPr="00F956C7">
        <w:rPr>
          <w:sz w:val="22"/>
          <w:szCs w:val="22"/>
        </w:rPr>
        <w:t xml:space="preserve"> z póź. zm.)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681DF7" w:rsidRPr="00F956C7" w:rsidRDefault="00681DF7" w:rsidP="00681DF7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</w:p>
    <w:p w:rsidR="00290DC1" w:rsidRPr="00F956C7" w:rsidRDefault="00ED102D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</w:t>
      </w:r>
      <w:bookmarkStart w:id="0" w:name="_GoBack"/>
      <w:bookmarkEnd w:id="0"/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6D2421" w:rsidRPr="006D2421">
        <w:rPr>
          <w:color w:val="000000" w:themeColor="text1"/>
          <w:sz w:val="22"/>
          <w:szCs w:val="22"/>
        </w:rPr>
        <w:t>15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 xml:space="preserve">pocztą elektroniczną na podany </w:t>
      </w:r>
      <w:r w:rsidRPr="00F956C7">
        <w:rPr>
          <w:sz w:val="22"/>
          <w:szCs w:val="22"/>
        </w:rPr>
        <w:lastRenderedPageBreak/>
        <w:t>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 terminie 7 dni od daty odstąpienia od Umowy, Wykonawca zgłosi Zamawiającemu gotowość do </w:t>
      </w:r>
      <w:r w:rsidRPr="00F956C7">
        <w:rPr>
          <w:sz w:val="22"/>
          <w:szCs w:val="22"/>
        </w:rPr>
        <w:lastRenderedPageBreak/>
        <w:t>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Pr="00F956C7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13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14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F87E02" w:rsidRPr="00F956C7" w:rsidRDefault="00F87E02" w:rsidP="000D5644">
      <w:pPr>
        <w:spacing w:line="360" w:lineRule="auto"/>
        <w:rPr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15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16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F956C7" w:rsidRDefault="00913935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lastRenderedPageBreak/>
        <w:t>Zapytanie ofertowe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Kosztorys ofertowy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FA" w:rsidRDefault="004F02FA" w:rsidP="000D5644">
      <w:r>
        <w:separator/>
      </w:r>
    </w:p>
  </w:endnote>
  <w:endnote w:type="continuationSeparator" w:id="0">
    <w:p w:rsidR="004F02FA" w:rsidRDefault="004F02FA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FA" w:rsidRDefault="004F02FA" w:rsidP="000D5644">
      <w:r>
        <w:separator/>
      </w:r>
    </w:p>
  </w:footnote>
  <w:footnote w:type="continuationSeparator" w:id="0">
    <w:p w:rsidR="004F02FA" w:rsidRDefault="004F02FA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3F95"/>
    <w:rsid w:val="00335A57"/>
    <w:rsid w:val="003857DB"/>
    <w:rsid w:val="003865DF"/>
    <w:rsid w:val="00464CAB"/>
    <w:rsid w:val="004B75E3"/>
    <w:rsid w:val="004F02FA"/>
    <w:rsid w:val="004F1E85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113E3"/>
    <w:rsid w:val="0083749D"/>
    <w:rsid w:val="0084263C"/>
    <w:rsid w:val="0084531F"/>
    <w:rsid w:val="008B7B04"/>
    <w:rsid w:val="008D31B6"/>
    <w:rsid w:val="008D5591"/>
    <w:rsid w:val="00913935"/>
    <w:rsid w:val="00983204"/>
    <w:rsid w:val="00985E54"/>
    <w:rsid w:val="009B039B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650F5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56C7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7</cp:revision>
  <cp:lastPrinted>2019-09-18T09:27:00Z</cp:lastPrinted>
  <dcterms:created xsi:type="dcterms:W3CDTF">2019-09-20T10:21:00Z</dcterms:created>
  <dcterms:modified xsi:type="dcterms:W3CDTF">2019-09-20T11:56:00Z</dcterms:modified>
</cp:coreProperties>
</file>